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F0CE8" w14:textId="402CCF1A" w:rsidR="00313F70" w:rsidRPr="005C5756" w:rsidRDefault="00313F70" w:rsidP="00313F7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FA5466">
        <w:rPr>
          <w:rFonts w:ascii="Arial" w:hAnsi="Arial"/>
          <w:b/>
          <w:noProof/>
          <w:sz w:val="24"/>
          <w:lang w:val="en-US" w:eastAsia="ko-KR"/>
        </w:rPr>
        <w:t>107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A666A5">
        <w:rPr>
          <w:b/>
          <w:sz w:val="24"/>
          <w:lang w:val="sv-SE" w:eastAsia="ko-KR"/>
        </w:rPr>
        <w:t xml:space="preserve">   </w:t>
      </w:r>
      <w:r w:rsidR="00F714B0" w:rsidRPr="00F714B0">
        <w:rPr>
          <w:rFonts w:ascii="Arial" w:hAnsi="Arial"/>
          <w:b/>
          <w:i/>
          <w:sz w:val="32"/>
          <w:lang w:val="sv-SE" w:eastAsia="ko-KR"/>
        </w:rPr>
        <w:t>R2-1909831</w:t>
      </w:r>
    </w:p>
    <w:p w14:paraId="63C0C9A4" w14:textId="583ABC9C" w:rsidR="008577AC" w:rsidRDefault="00FA5466" w:rsidP="00313F7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FA5466">
        <w:rPr>
          <w:rFonts w:eastAsia="바탕"/>
          <w:b/>
          <w:noProof/>
          <w:sz w:val="24"/>
          <w:lang w:val="en-US" w:eastAsia="ko-KR"/>
        </w:rPr>
        <w:t>Prague, Czech Republic, 26th - 30th August 2019</w:t>
      </w:r>
      <w:r>
        <w:rPr>
          <w:rFonts w:eastAsia="바탕"/>
          <w:b/>
          <w:noProof/>
          <w:sz w:val="24"/>
          <w:lang w:val="en-US" w:eastAsia="ko-KR"/>
        </w:rPr>
        <w:t xml:space="preserve">    </w:t>
      </w:r>
      <w:r w:rsidR="00313F70">
        <w:rPr>
          <w:rFonts w:eastAsia="바탕"/>
          <w:b/>
          <w:noProof/>
          <w:sz w:val="24"/>
          <w:lang w:val="en-US" w:eastAsia="ko-KR"/>
        </w:rPr>
        <w:t xml:space="preserve">(Resubmission of </w:t>
      </w:r>
      <w:r w:rsidR="00201CAC" w:rsidRPr="00201CAC">
        <w:rPr>
          <w:rFonts w:eastAsia="바탕"/>
          <w:b/>
          <w:noProof/>
          <w:sz w:val="24"/>
          <w:lang w:val="en-US" w:eastAsia="ko-KR"/>
        </w:rPr>
        <w:t>R2-19</w:t>
      </w:r>
      <w:r w:rsidRPr="00FA5466">
        <w:rPr>
          <w:rFonts w:eastAsia="바탕"/>
          <w:b/>
          <w:noProof/>
          <w:sz w:val="24"/>
          <w:lang w:val="en-US" w:eastAsia="ko-KR"/>
        </w:rPr>
        <w:t>06744</w:t>
      </w:r>
      <w:r w:rsidR="00313F70">
        <w:rPr>
          <w:rFonts w:eastAsia="바탕"/>
          <w:b/>
          <w:noProof/>
          <w:sz w:val="24"/>
          <w:lang w:val="en-US" w:eastAsia="ko-KR"/>
        </w:rPr>
        <w:t>)</w:t>
      </w:r>
    </w:p>
    <w:p w14:paraId="6AFFB3AA" w14:textId="77777777" w:rsidR="00313F70" w:rsidRDefault="00313F70" w:rsidP="00313F7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86D510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21BDAE9E" w:rsidR="006539B5" w:rsidRDefault="00313F70" w:rsidP="006539B5">
      <w:pPr>
        <w:rPr>
          <w:lang w:eastAsia="ko-KR"/>
        </w:rPr>
      </w:pPr>
      <w:r w:rsidRPr="001046B6">
        <w:t>At</w:t>
      </w:r>
      <w:r>
        <w:t xml:space="preserve"> RAN</w:t>
      </w:r>
      <w:r w:rsidRPr="006A72A0">
        <w:t xml:space="preserve"> </w:t>
      </w:r>
      <w:r>
        <w:t>#83,</w:t>
      </w:r>
      <w:r w:rsidRPr="001046B6">
        <w:t xml:space="preserve"> </w:t>
      </w:r>
      <w:r>
        <w:t xml:space="preserve">the work item for NR </w:t>
      </w:r>
      <w:r w:rsidRPr="00313F70">
        <w:t xml:space="preserve">Industrial Internet of Things </w:t>
      </w:r>
      <w:r>
        <w:t>(</w:t>
      </w:r>
      <w:proofErr w:type="spellStart"/>
      <w:r w:rsidR="004C65B0">
        <w:t>I</w:t>
      </w:r>
      <w:r>
        <w:t>IoT</w:t>
      </w:r>
      <w:proofErr w:type="spellEnd"/>
      <w:r>
        <w:t>) was approved and one of WI objectives are as follows</w:t>
      </w:r>
      <w:r w:rsidRPr="001046B6">
        <w:t>:</w:t>
      </w:r>
    </w:p>
    <w:p w14:paraId="794FCA2C" w14:textId="171ACA6C" w:rsidR="00313F70" w:rsidRPr="00313F70" w:rsidRDefault="00313F70" w:rsidP="00313F70">
      <w:pPr>
        <w:pStyle w:val="a6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Chars="0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bCs/>
          <w:lang w:eastAsia="en-GB"/>
        </w:rPr>
        <w:t>The detailed objectives for NR intra-UE prioritization/multiplexing are:</w:t>
      </w:r>
    </w:p>
    <w:p w14:paraId="050BF29F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enhancements to address resource conflicts between dynamic grant (DG) and configured grant (CG) PUSCH and conflicts involving multiple CGs [RAN2, RAN1].</w:t>
      </w:r>
    </w:p>
    <w:p w14:paraId="36678252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PUSCH grant prioritization based on LCH priorities and LCP restrictions for the cases where MAC prioritizes the grant [RAN2].</w:t>
      </w:r>
    </w:p>
    <w:p w14:paraId="3BFF6559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highlight w:val="yellow"/>
          <w:lang w:eastAsia="en-GB"/>
        </w:rPr>
      </w:pPr>
      <w:r w:rsidRPr="00313F70">
        <w:rPr>
          <w:rFonts w:eastAsia="맑은 고딕"/>
          <w:highlight w:val="yellow"/>
          <w:lang w:eastAsia="en-GB"/>
        </w:rPr>
        <w:t>Address UL data/control and control/control resource collision by:</w:t>
      </w:r>
    </w:p>
    <w:p w14:paraId="4FDFCDD7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proofErr w:type="gramStart"/>
      <w:r w:rsidRPr="00313F70">
        <w:rPr>
          <w:rFonts w:eastAsia="맑은 고딕"/>
          <w:lang w:eastAsia="en-GB"/>
        </w:rPr>
        <w:t>specifying</w:t>
      </w:r>
      <w:proofErr w:type="gramEnd"/>
      <w:r w:rsidRPr="00313F70">
        <w:rPr>
          <w:rFonts w:eastAsia="맑은 고딕"/>
          <w:lang w:eastAsia="en-GB"/>
        </w:rPr>
        <w:t xml:space="preserve"> a method to address resource collision between SR associating to high-priority traffic and uplink data of lower-priority traffic for the cases where MAC determines the prioritization [RAN2].</w:t>
      </w:r>
    </w:p>
    <w:p w14:paraId="57E88805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proofErr w:type="gramStart"/>
      <w:r w:rsidRPr="00313F70">
        <w:rPr>
          <w:rFonts w:eastAsia="맑은 고딕"/>
          <w:lang w:eastAsia="en-GB"/>
        </w:rPr>
        <w:t>specifying</w:t>
      </w:r>
      <w:proofErr w:type="gramEnd"/>
      <w:r w:rsidRPr="00313F70">
        <w:rPr>
          <w:rFonts w:eastAsia="맑은 고딕"/>
          <w:lang w:eastAsia="en-GB"/>
        </w:rPr>
        <w:t xml:space="preserve"> prioritization and/or multiplexing behaviour among HARQ-ACK/SR/CSI and PUSCH for traffic with different priorities, including the cases with UCI on PUCCH and UCI on PUSCH [RAN1, RAN2].</w:t>
      </w:r>
    </w:p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 xml:space="preserve">satisfy the </w:t>
      </w:r>
      <w:proofErr w:type="spellStart"/>
      <w:r w:rsidR="007E2469">
        <w:t>QoS</w:t>
      </w:r>
      <w:proofErr w:type="spellEnd"/>
      <w:r w:rsidR="007E2469">
        <w:t xml:space="preserve">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F74A4" wp14:editId="4865016B">
                <wp:simplePos x="0" y="0"/>
                <wp:positionH relativeFrom="column">
                  <wp:posOffset>264795</wp:posOffset>
                </wp:positionH>
                <wp:positionV relativeFrom="paragraph">
                  <wp:posOffset>167640</wp:posOffset>
                </wp:positionV>
                <wp:extent cx="5448300" cy="2660650"/>
                <wp:effectExtent l="0" t="0" r="19050" b="2540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BBC4B" w14:textId="77777777" w:rsidR="007E2469" w:rsidRPr="007E2469" w:rsidRDefault="007E2469" w:rsidP="007E2469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suppressOverlap/>
                              <w:jc w:val="left"/>
                              <w:outlineLvl w:val="1"/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</w:pP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>5.14</w:t>
                            </w: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ab/>
                              <w:t>Handling of measurement gaps</w:t>
                            </w:r>
                          </w:p>
                          <w:p w14:paraId="78233DC5" w14:textId="77777777" w:rsidR="007E2469" w:rsidRPr="007E2469" w:rsidRDefault="007E2469" w:rsidP="007E2469">
                            <w:pPr>
                              <w:spacing w:after="180" w:line="240" w:lineRule="auto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>measGapConfig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 xml:space="preserve"> 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7B05951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20349999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1CF5562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not transmit on UL-SCH except for Msg3 as specified in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subclause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5.4.2.2;</w:t>
                            </w:r>
                          </w:p>
                          <w:p w14:paraId="0AF5F7C6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if the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ra-ResponseWindow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or the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ra-ContentionResolutionTimer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192F1ADC" w14:textId="77777777" w:rsidR="007E2469" w:rsidRPr="007E2469" w:rsidRDefault="007E2469" w:rsidP="00740193">
                            <w:pPr>
                              <w:spacing w:after="180" w:line="240" w:lineRule="auto"/>
                              <w:ind w:left="851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monitor the PDCCH as specified in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subclauses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5.1.4 and 5.1.5.</w:t>
                            </w:r>
                          </w:p>
                          <w:p w14:paraId="3F2618AD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338D8BE0" w14:textId="77777777" w:rsidR="007E2469" w:rsidRPr="007E2469" w:rsidRDefault="007E2469" w:rsidP="00740193">
                            <w:pPr>
                              <w:spacing w:line="240" w:lineRule="auto"/>
                              <w:ind w:firstLine="568"/>
                              <w:rPr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monitor the PDCCH.</w:t>
                            </w:r>
                          </w:p>
                          <w:p w14:paraId="214D840B" w14:textId="775BD0F2" w:rsidR="007E2469" w:rsidRPr="007E2469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F74A4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20.85pt;margin-top:13.2pt;width:429pt;height:20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qZQgIAAE8EAAAOAAAAZHJzL2Uyb0RvYy54bWysVM2O0zAQviPxDpbvNGlou92o6WrpUoS0&#10;/EgLD+A6TmNhe4LtNlluCHFZCYkn4MRD8FDdd2DsdEu1wAWRg+XxjD/PfN9MZmedVmQrrJNgCjoc&#10;pJQIw6GUZl3Qt2+Wj6aUOM9MyRQYUdBr4ejZ/OGDWdvkIoMaVCksQRDj8rYpaO19kyeJ47XQzA2g&#10;EQadFVjNPJp2nZSWtYiuVZKl6SRpwZaNBS6cw9OL3knnEb+qBPevqsoJT1RBMTcfVxvXVViT+Yzl&#10;a8uaWvJ9GuwfstBMGnz0AHXBPCMbK3+D0pJbcFD5AQedQFVJLmINWM0wvVfNVc0aEWtBclxzoMn9&#10;P1j+cvvaElkWNBueUGKYRpFuP3/Z3Xy/vflBdp8+7r59JVngqW1cjuFXDV7w3RPoUO9Ys2sugb9z&#10;xMCiZmYtzq2FthasxDyH4WZydLXHcQFk1b6AEp9jGw8RqKusDiQiLQTRUa/rg0ai84Tj4Xg0mj5O&#10;0cXRl00m6WQcVUxYfne9sc4/E6BJ2BTUYhNEeLa9dD6kw/K7kPCaAyXLpVQqGna9WihLtgwbZhm/&#10;WMG9MGVIW9DTcTbuGfgrRBq/P0Fo6bHzldQFnR6CWB54e2rK2JeeSdXvMWVl9kQG7noWfbfq9sKs&#10;oLxGSi30HY4TiZsa7AdKWuzugrr3G2YFJeq5QVlOh6NRGIdojMYnGRr22LM69jDDEaqgnpJ+u/Bx&#10;hAJhBs5RvkpGYoPOfSb7XLFrI9/7CQtjcWzHqF//gflPAAAA//8DAFBLAwQUAAYACAAAACEAU+9Q&#10;HN8AAAAJAQAADwAAAGRycy9kb3ducmV2LnhtbEyPy07DMBBF90j8gzVIbBB1WkyahDgVQgLBDgqC&#10;rRtPkwg/gu2m4e8ZVrCcOVd3ztSb2Ro2YYiDdxKWiwwYutbrwXUS3l7vLwtgMSmnlfEOJXxjhE1z&#10;elKrSvuje8FpmzpGJS5WSkKf0lhxHtserYoLP6IjtvfBqkRj6LgO6kjl1vBVluXcqsHRhV6NeNdj&#10;+7k9WAmFeJw+4tPV83ub702ZLtbTw1eQ8vxsvr0BlnBOf2H41Sd1aMhp5w9OR2YkiOWakhJWuQBG&#10;vChLWuwIiGsBvKn5/w+aHwAAAP//AwBQSwECLQAUAAYACAAAACEAtoM4kv4AAADhAQAAEwAAAAAA&#10;AAAAAAAAAAAAAAAAW0NvbnRlbnRfVHlwZXNdLnhtbFBLAQItABQABgAIAAAAIQA4/SH/1gAAAJQB&#10;AAALAAAAAAAAAAAAAAAAAC8BAABfcmVscy8ucmVsc1BLAQItABQABgAIAAAAIQBXgkqZQgIAAE8E&#10;AAAOAAAAAAAAAAAAAAAAAC4CAABkcnMvZTJvRG9jLnhtbFBLAQItABQABgAIAAAAIQBT71Ac3wAA&#10;AAkBAAAPAAAAAAAAAAAAAAAAAJwEAABkcnMvZG93bnJldi54bWxQSwUGAAAAAAQABADzAAAAqAUA&#10;AAAA&#10;">
                <v:textbox>
                  <w:txbxContent>
                    <w:p w14:paraId="186BBC4B" w14:textId="77777777" w:rsidR="007E2469" w:rsidRPr="007E2469" w:rsidRDefault="007E2469" w:rsidP="007E2469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suppressOverlap/>
                        <w:jc w:val="left"/>
                        <w:outlineLvl w:val="1"/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</w:pP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>5.14</w:t>
                      </w: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ab/>
                        <w:t>Handling of measurement gaps</w:t>
                      </w:r>
                    </w:p>
                    <w:p w14:paraId="78233DC5" w14:textId="77777777" w:rsidR="007E2469" w:rsidRPr="007E2469" w:rsidRDefault="007E2469" w:rsidP="007E2469">
                      <w:pPr>
                        <w:spacing w:after="180" w:line="240" w:lineRule="auto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r w:rsidRPr="007E2469">
                        <w:rPr>
                          <w:rFonts w:eastAsiaTheme="minorEastAsia"/>
                          <w:i/>
                        </w:rPr>
                        <w:t xml:space="preserve">measGapConfig 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>as specified in TS 38.331 [5]:</w:t>
                      </w:r>
                    </w:p>
                    <w:p w14:paraId="7B05951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20349999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report SRS;</w:t>
                      </w:r>
                    </w:p>
                    <w:p w14:paraId="1CF5562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transmit on UL-SCH except for Msg3 as specified in subclause 5.4.2.2;</w:t>
                      </w:r>
                    </w:p>
                    <w:p w14:paraId="0AF5F7C6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if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ra-ResponseWindow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or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ra-ContentionResolutionTimer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is running:</w:t>
                      </w:r>
                    </w:p>
                    <w:p w14:paraId="192F1ADC" w14:textId="77777777" w:rsidR="007E2469" w:rsidRPr="007E2469" w:rsidRDefault="007E2469" w:rsidP="00740193">
                      <w:pPr>
                        <w:spacing w:after="180" w:line="240" w:lineRule="auto"/>
                        <w:ind w:left="851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monitor the PDCCH as specified in subclauses 5.1.4 and 5.1.5.</w:t>
                      </w:r>
                    </w:p>
                    <w:p w14:paraId="3F2618AD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else:</w:t>
                      </w:r>
                    </w:p>
                    <w:p w14:paraId="338D8BE0" w14:textId="77777777" w:rsidR="007E2469" w:rsidRPr="007E2469" w:rsidRDefault="007E2469" w:rsidP="00740193">
                      <w:pPr>
                        <w:spacing w:line="240" w:lineRule="auto"/>
                        <w:ind w:firstLine="568"/>
                        <w:rPr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monitor the PDCCH.</w:t>
                      </w:r>
                    </w:p>
                    <w:p w14:paraId="214D840B" w14:textId="775BD0F2" w:rsidR="007E2469" w:rsidRPr="007E2469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</w:t>
      </w:r>
      <w:proofErr w:type="gramStart"/>
      <w:r>
        <w:rPr>
          <w:lang w:eastAsia="ko-KR"/>
        </w:rPr>
        <w:t>cell</w:t>
      </w:r>
      <w:proofErr w:type="gramEnd"/>
      <w:r>
        <w:rPr>
          <w:lang w:eastAsia="ko-KR"/>
        </w:rPr>
        <w:t xml:space="preserve">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</w:t>
      </w:r>
      <w:proofErr w:type="spellStart"/>
      <w:r w:rsidR="00753087" w:rsidRPr="00753087">
        <w:rPr>
          <w:lang w:eastAsia="ko-KR"/>
        </w:rPr>
        <w:t>QoS</w:t>
      </w:r>
      <w:proofErr w:type="spellEnd"/>
      <w:r w:rsidR="00753087" w:rsidRPr="00753087">
        <w:rPr>
          <w:lang w:eastAsia="ko-KR"/>
        </w:rPr>
        <w:t xml:space="preserve">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</w:t>
      </w:r>
      <w:proofErr w:type="spellStart"/>
      <w:r>
        <w:t>QoS</w:t>
      </w:r>
      <w:proofErr w:type="spellEnd"/>
      <w:r>
        <w:t xml:space="preserve">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65EDA4CF" w14:textId="77777777" w:rsidR="009577E5" w:rsidRPr="009577E5" w:rsidRDefault="009577E5" w:rsidP="0055389D">
      <w:pPr>
        <w:spacing w:after="120"/>
        <w:rPr>
          <w:b/>
          <w:lang w:val="en-US" w:eastAsia="ko-KR"/>
        </w:rPr>
      </w:pP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  <w:bookmarkStart w:id="2" w:name="_GoBack"/>
      <w:bookmarkEnd w:id="2"/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BACF2" w14:textId="77777777" w:rsidR="00A30631" w:rsidRDefault="00A30631">
      <w:pPr>
        <w:spacing w:after="0"/>
      </w:pPr>
      <w:r>
        <w:separator/>
      </w:r>
    </w:p>
  </w:endnote>
  <w:endnote w:type="continuationSeparator" w:id="0">
    <w:p w14:paraId="7392BF87" w14:textId="77777777" w:rsidR="00A30631" w:rsidRDefault="00A30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14B0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5EC5F" w14:textId="77777777" w:rsidR="00A30631" w:rsidRDefault="00A30631">
      <w:pPr>
        <w:spacing w:after="0"/>
      </w:pPr>
      <w:r>
        <w:separator/>
      </w:r>
    </w:p>
  </w:footnote>
  <w:footnote w:type="continuationSeparator" w:id="0">
    <w:p w14:paraId="10C8A7D5" w14:textId="77777777" w:rsidR="00A30631" w:rsidRDefault="00A306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CAC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37F02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6A62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4D4C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631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6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14B0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5466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E942E-A5F4-4679-8E8E-D2AFFC3F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6</cp:revision>
  <dcterms:created xsi:type="dcterms:W3CDTF">2019-03-29T02:12:00Z</dcterms:created>
  <dcterms:modified xsi:type="dcterms:W3CDTF">2019-08-15T06:38:00Z</dcterms:modified>
</cp:coreProperties>
</file>